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5AE6C" w14:textId="77777777" w:rsidR="008B0AB4" w:rsidRDefault="008B0AB4" w:rsidP="008B0AB4">
      <w:pPr>
        <w:widowControl w:val="0"/>
        <w:spacing w:line="480" w:lineRule="auto"/>
        <w:ind w:firstLine="720"/>
        <w:contextualSpacing/>
      </w:pPr>
      <w:r>
        <w:t xml:space="preserve">  </w:t>
      </w:r>
    </w:p>
    <w:p w14:paraId="1CD1358F" w14:textId="77777777" w:rsidR="000C62C3" w:rsidRPr="00FD5E12" w:rsidRDefault="000C62C3" w:rsidP="00FD5E12">
      <w:pPr>
        <w:widowControl w:val="0"/>
        <w:spacing w:line="360" w:lineRule="auto"/>
        <w:contextualSpacing/>
        <w:rPr>
          <w:sz w:val="22"/>
          <w:szCs w:val="22"/>
        </w:rPr>
      </w:pPr>
    </w:p>
    <w:p w14:paraId="21007E00" w14:textId="77777777" w:rsidR="000C62C3" w:rsidRPr="00FD5E12" w:rsidRDefault="000C62C3" w:rsidP="00FD5E12">
      <w:pPr>
        <w:widowControl w:val="0"/>
        <w:spacing w:line="360" w:lineRule="auto"/>
        <w:contextualSpacing/>
        <w:rPr>
          <w:sz w:val="22"/>
          <w:szCs w:val="22"/>
        </w:rPr>
      </w:pPr>
    </w:p>
    <w:p w14:paraId="2AEE91AE" w14:textId="77777777" w:rsidR="000C62C3" w:rsidRPr="00FD5E12" w:rsidRDefault="000C62C3" w:rsidP="00FD5E12">
      <w:pPr>
        <w:widowControl w:val="0"/>
        <w:spacing w:line="360" w:lineRule="auto"/>
        <w:contextualSpacing/>
        <w:rPr>
          <w:sz w:val="22"/>
          <w:szCs w:val="22"/>
        </w:rPr>
      </w:pPr>
    </w:p>
    <w:p w14:paraId="1D578539" w14:textId="77777777" w:rsidR="000C62C3" w:rsidRPr="00FD5E12" w:rsidRDefault="000C62C3" w:rsidP="00FD5E12">
      <w:pPr>
        <w:widowControl w:val="0"/>
        <w:spacing w:line="360" w:lineRule="auto"/>
        <w:contextualSpacing/>
        <w:rPr>
          <w:sz w:val="22"/>
          <w:szCs w:val="22"/>
        </w:rPr>
      </w:pPr>
    </w:p>
    <w:p w14:paraId="0A8608E7" w14:textId="2FA4F5A5" w:rsidR="00FD5E12" w:rsidRDefault="00FD5E12" w:rsidP="00FD5E12">
      <w:pPr>
        <w:spacing w:line="360" w:lineRule="auto"/>
        <w:jc w:val="center"/>
        <w:rPr>
          <w:rFonts w:ascii="Arial" w:eastAsia="Arial" w:hAnsi="Arial" w:cs="Arial"/>
          <w:bCs/>
          <w:color w:val="000000"/>
          <w:sz w:val="22"/>
          <w:szCs w:val="22"/>
        </w:rPr>
      </w:pPr>
    </w:p>
    <w:p w14:paraId="66708126" w14:textId="77777777" w:rsidR="00C6265D" w:rsidRPr="00FD5E12" w:rsidRDefault="00C6265D" w:rsidP="00FD5E12">
      <w:pPr>
        <w:spacing w:line="360" w:lineRule="auto"/>
        <w:jc w:val="center"/>
        <w:rPr>
          <w:rFonts w:ascii="Arial" w:eastAsia="Arial" w:hAnsi="Arial" w:cs="Arial"/>
          <w:b/>
          <w:sz w:val="22"/>
          <w:szCs w:val="22"/>
        </w:rPr>
      </w:pPr>
      <w:bookmarkStart w:id="0" w:name="_GoBack"/>
      <w:bookmarkEnd w:id="0"/>
    </w:p>
    <w:p w14:paraId="62A861E3" w14:textId="77777777" w:rsidR="00FD5E12" w:rsidRDefault="00FD5E12" w:rsidP="00FD5E12">
      <w:pPr>
        <w:spacing w:line="360" w:lineRule="auto"/>
        <w:rPr>
          <w:rFonts w:ascii="Arial" w:eastAsia="Arial" w:hAnsi="Arial" w:cs="Arial"/>
          <w:color w:val="000000"/>
          <w:sz w:val="22"/>
          <w:szCs w:val="22"/>
        </w:rPr>
      </w:pPr>
      <w:r w:rsidRPr="00FD5E12">
        <w:rPr>
          <w:rFonts w:ascii="Arial" w:eastAsia="Arial" w:hAnsi="Arial" w:cs="Arial"/>
          <w:color w:val="000000"/>
          <w:sz w:val="22"/>
          <w:szCs w:val="22"/>
        </w:rPr>
        <w:tab/>
      </w:r>
    </w:p>
    <w:p w14:paraId="18FAA1F0" w14:textId="77777777" w:rsidR="00FD5E12" w:rsidRDefault="00FD5E12" w:rsidP="00FD5E12">
      <w:pPr>
        <w:spacing w:line="360" w:lineRule="auto"/>
        <w:rPr>
          <w:rFonts w:ascii="Arial" w:eastAsia="Arial" w:hAnsi="Arial" w:cs="Arial"/>
          <w:color w:val="000000"/>
          <w:sz w:val="22"/>
          <w:szCs w:val="22"/>
        </w:rPr>
      </w:pPr>
    </w:p>
    <w:p w14:paraId="79147DAB" w14:textId="77777777" w:rsidR="00FD5E12" w:rsidRDefault="00FD5E12" w:rsidP="00FD5E12">
      <w:pPr>
        <w:spacing w:line="360" w:lineRule="auto"/>
        <w:rPr>
          <w:rFonts w:ascii="Arial" w:eastAsia="Arial" w:hAnsi="Arial" w:cs="Arial"/>
          <w:color w:val="000000"/>
          <w:sz w:val="22"/>
          <w:szCs w:val="22"/>
        </w:rPr>
      </w:pPr>
    </w:p>
    <w:p w14:paraId="284646A4" w14:textId="77777777" w:rsidR="00FD5E12" w:rsidRDefault="00FD5E12" w:rsidP="00FD5E12">
      <w:pPr>
        <w:spacing w:line="360" w:lineRule="auto"/>
        <w:rPr>
          <w:rFonts w:ascii="Arial" w:eastAsia="Arial" w:hAnsi="Arial" w:cs="Arial"/>
          <w:color w:val="000000"/>
          <w:sz w:val="22"/>
          <w:szCs w:val="22"/>
        </w:rPr>
      </w:pPr>
    </w:p>
    <w:p w14:paraId="407C4C85" w14:textId="77777777" w:rsidR="00FD5E12" w:rsidRDefault="00FD5E12" w:rsidP="00FD5E12">
      <w:pPr>
        <w:spacing w:line="360" w:lineRule="auto"/>
        <w:rPr>
          <w:rFonts w:ascii="Arial" w:eastAsia="Arial" w:hAnsi="Arial" w:cs="Arial"/>
          <w:color w:val="000000"/>
          <w:sz w:val="22"/>
          <w:szCs w:val="22"/>
        </w:rPr>
      </w:pPr>
    </w:p>
    <w:p w14:paraId="6A42E806" w14:textId="77777777" w:rsidR="00FD5E12" w:rsidRDefault="00FD5E12" w:rsidP="00FD5E12">
      <w:pPr>
        <w:spacing w:line="360" w:lineRule="auto"/>
        <w:rPr>
          <w:rFonts w:ascii="Arial" w:eastAsia="Arial" w:hAnsi="Arial" w:cs="Arial"/>
          <w:color w:val="000000"/>
          <w:sz w:val="22"/>
          <w:szCs w:val="22"/>
        </w:rPr>
      </w:pPr>
    </w:p>
    <w:p w14:paraId="69A68815" w14:textId="77777777" w:rsidR="00FD5E12" w:rsidRDefault="00FD5E12" w:rsidP="00FD5E12">
      <w:pPr>
        <w:spacing w:line="360" w:lineRule="auto"/>
        <w:rPr>
          <w:rFonts w:ascii="Arial" w:eastAsia="Arial" w:hAnsi="Arial" w:cs="Arial"/>
          <w:color w:val="000000"/>
          <w:sz w:val="22"/>
          <w:szCs w:val="22"/>
        </w:rPr>
      </w:pPr>
    </w:p>
    <w:p w14:paraId="336BF928" w14:textId="77777777" w:rsidR="00FD5E12" w:rsidRDefault="00FD5E12" w:rsidP="00FD5E12">
      <w:pPr>
        <w:spacing w:line="360" w:lineRule="auto"/>
        <w:rPr>
          <w:rFonts w:ascii="Arial" w:eastAsia="Arial" w:hAnsi="Arial" w:cs="Arial"/>
          <w:color w:val="000000"/>
          <w:sz w:val="22"/>
          <w:szCs w:val="22"/>
        </w:rPr>
      </w:pPr>
    </w:p>
    <w:p w14:paraId="1820E3E6" w14:textId="77777777" w:rsidR="00FD5E12" w:rsidRDefault="00FD5E12" w:rsidP="00FD5E12">
      <w:pPr>
        <w:spacing w:line="360" w:lineRule="auto"/>
        <w:rPr>
          <w:rFonts w:ascii="Arial" w:eastAsia="Arial" w:hAnsi="Arial" w:cs="Arial"/>
          <w:color w:val="000000"/>
          <w:sz w:val="22"/>
          <w:szCs w:val="22"/>
        </w:rPr>
      </w:pPr>
    </w:p>
    <w:p w14:paraId="110A6972" w14:textId="77777777" w:rsidR="00FD5E12" w:rsidRDefault="00FD5E12" w:rsidP="00FD5E12">
      <w:pPr>
        <w:spacing w:line="360" w:lineRule="auto"/>
        <w:rPr>
          <w:rFonts w:ascii="Arial" w:eastAsia="Arial" w:hAnsi="Arial" w:cs="Arial"/>
          <w:color w:val="000000"/>
          <w:sz w:val="22"/>
          <w:szCs w:val="22"/>
        </w:rPr>
      </w:pPr>
    </w:p>
    <w:p w14:paraId="487354B9" w14:textId="77777777" w:rsidR="00FD5E12" w:rsidRDefault="00FD5E12" w:rsidP="00FD5E12">
      <w:pPr>
        <w:spacing w:line="360" w:lineRule="auto"/>
        <w:rPr>
          <w:rFonts w:ascii="Arial" w:eastAsia="Arial" w:hAnsi="Arial" w:cs="Arial"/>
          <w:color w:val="000000"/>
          <w:sz w:val="22"/>
          <w:szCs w:val="22"/>
        </w:rPr>
      </w:pPr>
    </w:p>
    <w:p w14:paraId="3428E245" w14:textId="77777777" w:rsidR="00FD5E12" w:rsidRDefault="00FD5E12" w:rsidP="00FD5E12">
      <w:pPr>
        <w:spacing w:line="360" w:lineRule="auto"/>
        <w:rPr>
          <w:rFonts w:ascii="Arial" w:eastAsia="Arial" w:hAnsi="Arial" w:cs="Arial"/>
          <w:color w:val="000000"/>
          <w:sz w:val="22"/>
          <w:szCs w:val="22"/>
        </w:rPr>
      </w:pPr>
    </w:p>
    <w:p w14:paraId="25283286" w14:textId="77777777" w:rsidR="00FD5E12" w:rsidRDefault="00FD5E12" w:rsidP="00FD5E12">
      <w:pPr>
        <w:spacing w:line="360" w:lineRule="auto"/>
        <w:rPr>
          <w:rFonts w:ascii="Arial" w:eastAsia="Arial" w:hAnsi="Arial" w:cs="Arial"/>
          <w:color w:val="000000"/>
          <w:sz w:val="22"/>
          <w:szCs w:val="22"/>
        </w:rPr>
      </w:pPr>
    </w:p>
    <w:p w14:paraId="7DE21AA5" w14:textId="77777777" w:rsidR="00FD5E12" w:rsidRDefault="00FD5E12" w:rsidP="00FD5E12">
      <w:pPr>
        <w:spacing w:line="360" w:lineRule="auto"/>
        <w:rPr>
          <w:rFonts w:ascii="Arial" w:eastAsia="Arial" w:hAnsi="Arial" w:cs="Arial"/>
          <w:color w:val="000000"/>
          <w:sz w:val="22"/>
          <w:szCs w:val="22"/>
        </w:rPr>
      </w:pPr>
    </w:p>
    <w:p w14:paraId="39D3A7EF" w14:textId="77777777" w:rsidR="00FD5E12" w:rsidRDefault="00FD5E12" w:rsidP="00FD5E12">
      <w:pPr>
        <w:spacing w:line="360" w:lineRule="auto"/>
        <w:rPr>
          <w:rFonts w:ascii="Arial" w:eastAsia="Arial" w:hAnsi="Arial" w:cs="Arial"/>
          <w:color w:val="000000"/>
          <w:sz w:val="22"/>
          <w:szCs w:val="22"/>
        </w:rPr>
      </w:pPr>
    </w:p>
    <w:p w14:paraId="742DB318" w14:textId="77777777" w:rsidR="00FD5E12" w:rsidRDefault="00FD5E12" w:rsidP="00FD5E12">
      <w:pPr>
        <w:spacing w:line="360" w:lineRule="auto"/>
        <w:rPr>
          <w:rFonts w:ascii="Arial" w:eastAsia="Arial" w:hAnsi="Arial" w:cs="Arial"/>
          <w:color w:val="000000"/>
          <w:sz w:val="22"/>
          <w:szCs w:val="22"/>
        </w:rPr>
      </w:pPr>
    </w:p>
    <w:p w14:paraId="696E0B71" w14:textId="77777777" w:rsidR="00FD5E12" w:rsidRDefault="00FD5E12" w:rsidP="00FD5E12">
      <w:pPr>
        <w:spacing w:line="360" w:lineRule="auto"/>
        <w:rPr>
          <w:rFonts w:ascii="Arial" w:eastAsia="Arial" w:hAnsi="Arial" w:cs="Arial"/>
          <w:color w:val="000000"/>
          <w:sz w:val="22"/>
          <w:szCs w:val="22"/>
        </w:rPr>
      </w:pPr>
    </w:p>
    <w:p w14:paraId="1DC2CA25" w14:textId="77777777" w:rsidR="00FD5E12" w:rsidRDefault="00FD5E12" w:rsidP="00FD5E12">
      <w:pPr>
        <w:spacing w:line="360" w:lineRule="auto"/>
        <w:rPr>
          <w:rFonts w:ascii="Arial" w:eastAsia="Arial" w:hAnsi="Arial" w:cs="Arial"/>
          <w:color w:val="000000"/>
          <w:sz w:val="22"/>
          <w:szCs w:val="22"/>
        </w:rPr>
      </w:pPr>
    </w:p>
    <w:p w14:paraId="0C8F6116" w14:textId="77777777" w:rsidR="00FD5E12" w:rsidRDefault="00FD5E12" w:rsidP="00FD5E12">
      <w:pPr>
        <w:spacing w:line="360" w:lineRule="auto"/>
        <w:rPr>
          <w:rFonts w:ascii="Arial" w:eastAsia="Arial" w:hAnsi="Arial" w:cs="Arial"/>
          <w:color w:val="000000"/>
          <w:sz w:val="22"/>
          <w:szCs w:val="22"/>
        </w:rPr>
      </w:pPr>
    </w:p>
    <w:p w14:paraId="64CAC6D8" w14:textId="77777777" w:rsidR="00FD5E12" w:rsidRDefault="00FD5E12" w:rsidP="00FD5E12">
      <w:pPr>
        <w:spacing w:line="360" w:lineRule="auto"/>
        <w:rPr>
          <w:rFonts w:ascii="Arial" w:eastAsia="Arial" w:hAnsi="Arial" w:cs="Arial"/>
          <w:color w:val="000000"/>
          <w:sz w:val="22"/>
          <w:szCs w:val="22"/>
        </w:rPr>
      </w:pPr>
    </w:p>
    <w:p w14:paraId="43C62486" w14:textId="77777777" w:rsidR="00FD5E12" w:rsidRDefault="00FD5E12" w:rsidP="00FD5E12">
      <w:pPr>
        <w:spacing w:line="360" w:lineRule="auto"/>
        <w:rPr>
          <w:rFonts w:ascii="Arial" w:eastAsia="Arial" w:hAnsi="Arial" w:cs="Arial"/>
          <w:color w:val="000000"/>
          <w:sz w:val="22"/>
          <w:szCs w:val="22"/>
        </w:rPr>
      </w:pPr>
    </w:p>
    <w:p w14:paraId="3582EF20" w14:textId="77777777" w:rsidR="00FD5E12" w:rsidRDefault="00FD5E12" w:rsidP="00FD5E12">
      <w:pPr>
        <w:spacing w:line="360" w:lineRule="auto"/>
        <w:rPr>
          <w:rFonts w:ascii="Arial" w:eastAsia="Arial" w:hAnsi="Arial" w:cs="Arial"/>
          <w:color w:val="000000"/>
          <w:sz w:val="22"/>
          <w:szCs w:val="22"/>
        </w:rPr>
      </w:pPr>
    </w:p>
    <w:p w14:paraId="0E12813C" w14:textId="77777777" w:rsidR="00FD5E12" w:rsidRDefault="00FD5E12" w:rsidP="00FD5E12">
      <w:pPr>
        <w:spacing w:line="360" w:lineRule="auto"/>
        <w:rPr>
          <w:rFonts w:ascii="Arial" w:eastAsia="Arial" w:hAnsi="Arial" w:cs="Arial"/>
          <w:color w:val="000000"/>
          <w:sz w:val="22"/>
          <w:szCs w:val="22"/>
        </w:rPr>
      </w:pPr>
    </w:p>
    <w:p w14:paraId="1E8FEA47" w14:textId="77777777" w:rsidR="00FD5E12" w:rsidRDefault="00FD5E12" w:rsidP="00FD5E12">
      <w:pPr>
        <w:spacing w:line="360" w:lineRule="auto"/>
        <w:ind w:firstLine="720"/>
        <w:rPr>
          <w:rFonts w:ascii="Arial" w:eastAsia="Arial" w:hAnsi="Arial" w:cs="Arial"/>
          <w:b/>
          <w:color w:val="000000"/>
          <w:sz w:val="22"/>
          <w:szCs w:val="22"/>
        </w:rPr>
      </w:pPr>
    </w:p>
    <w:p w14:paraId="30B5E685" w14:textId="4ED2949D" w:rsidR="00FD5E12" w:rsidRPr="00FD5E12" w:rsidRDefault="00FD5E12" w:rsidP="00FD5E12">
      <w:pPr>
        <w:spacing w:line="360" w:lineRule="auto"/>
        <w:ind w:firstLine="720"/>
        <w:rPr>
          <w:rFonts w:ascii="Arial" w:eastAsia="Arial" w:hAnsi="Arial" w:cs="Arial"/>
          <w:sz w:val="22"/>
          <w:szCs w:val="22"/>
        </w:rPr>
      </w:pPr>
      <w:r w:rsidRPr="00FD5E12">
        <w:rPr>
          <w:rFonts w:ascii="Arial" w:eastAsia="Arial" w:hAnsi="Arial" w:cs="Arial"/>
          <w:sz w:val="22"/>
          <w:szCs w:val="22"/>
          <w:highlight w:val="white"/>
        </w:rPr>
        <w:t xml:space="preserve">Affordable Care Act. It has a major influence on every U.S, citizen and their approaches towards healthcare. The Affordable Care Act actually refers to two separate pieces of legislation — the Patient Protection and Affordable Care Act and the Health Care and Education </w:t>
      </w:r>
      <w:r w:rsidRPr="00FD5E12">
        <w:rPr>
          <w:rFonts w:ascii="Arial" w:eastAsia="Arial" w:hAnsi="Arial" w:cs="Arial"/>
          <w:sz w:val="22"/>
          <w:szCs w:val="22"/>
          <w:highlight w:val="white"/>
        </w:rPr>
        <w:lastRenderedPageBreak/>
        <w:t>Reconciliation Act of 2010 that, together expand Medicaid coverage to millions of low-income Americans and makes numerous improvements to both Medicaid and the Children's Health Insurance Program (CHIP). Federalism impacts this specific policy because it provides several forms of guidance and federal support for state efforts to develop new or upgrade existing eligibility systems.</w:t>
      </w:r>
      <w:r w:rsidRPr="00FD5E12">
        <w:rPr>
          <w:rFonts w:ascii="Arial" w:eastAsia="Arial" w:hAnsi="Arial" w:cs="Arial"/>
          <w:sz w:val="22"/>
          <w:szCs w:val="22"/>
        </w:rPr>
        <w:t xml:space="preserve"> It is an extremely important act in the way it takes </w:t>
      </w:r>
      <w:proofErr w:type="spellStart"/>
      <w:r w:rsidRPr="00FD5E12">
        <w:rPr>
          <w:rFonts w:ascii="Arial" w:eastAsia="Arial" w:hAnsi="Arial" w:cs="Arial"/>
          <w:sz w:val="22"/>
          <w:szCs w:val="22"/>
        </w:rPr>
        <w:t>it’s</w:t>
      </w:r>
      <w:proofErr w:type="spellEnd"/>
      <w:r w:rsidRPr="00FD5E12">
        <w:rPr>
          <w:rFonts w:ascii="Arial" w:eastAsia="Arial" w:hAnsi="Arial" w:cs="Arial"/>
          <w:sz w:val="22"/>
          <w:szCs w:val="22"/>
        </w:rPr>
        <w:t xml:space="preserve"> approach in federalism. It leans more towards the national government and its enforcement on the states whom many opposed. This act has come a long way and proven to provide </w:t>
      </w:r>
      <w:proofErr w:type="gramStart"/>
      <w:r w:rsidRPr="00FD5E12">
        <w:rPr>
          <w:rFonts w:ascii="Arial" w:eastAsia="Arial" w:hAnsi="Arial" w:cs="Arial"/>
          <w:sz w:val="22"/>
          <w:szCs w:val="22"/>
        </w:rPr>
        <w:t>more good</w:t>
      </w:r>
      <w:proofErr w:type="gramEnd"/>
      <w:r w:rsidRPr="00FD5E12">
        <w:rPr>
          <w:rFonts w:ascii="Arial" w:eastAsia="Arial" w:hAnsi="Arial" w:cs="Arial"/>
          <w:sz w:val="22"/>
          <w:szCs w:val="22"/>
        </w:rPr>
        <w:t xml:space="preserve"> than bad that many of U.S. citizens believed it possibly could cause.</w:t>
      </w:r>
    </w:p>
    <w:p w14:paraId="4D5947C5" w14:textId="77777777" w:rsidR="00FD5E12" w:rsidRPr="00FD5E12" w:rsidRDefault="00FD5E12" w:rsidP="00FD5E12">
      <w:pPr>
        <w:spacing w:line="360" w:lineRule="auto"/>
        <w:ind w:firstLine="720"/>
        <w:rPr>
          <w:rFonts w:ascii="Arial" w:eastAsia="Arial" w:hAnsi="Arial" w:cs="Arial"/>
          <w:sz w:val="22"/>
          <w:szCs w:val="22"/>
        </w:rPr>
      </w:pPr>
    </w:p>
    <w:p w14:paraId="75232708" w14:textId="77777777" w:rsidR="00FD5E12" w:rsidRPr="00FD5E12" w:rsidRDefault="00FD5E12" w:rsidP="00FD5E12">
      <w:pPr>
        <w:spacing w:line="360" w:lineRule="auto"/>
        <w:rPr>
          <w:rFonts w:ascii="Arial" w:eastAsia="Arial" w:hAnsi="Arial" w:cs="Arial"/>
          <w:b/>
          <w:sz w:val="22"/>
          <w:szCs w:val="22"/>
        </w:rPr>
      </w:pPr>
      <w:r w:rsidRPr="00FD5E12">
        <w:rPr>
          <w:rFonts w:ascii="Arial" w:eastAsia="Arial" w:hAnsi="Arial" w:cs="Arial"/>
          <w:color w:val="000000"/>
          <w:sz w:val="22"/>
          <w:szCs w:val="22"/>
        </w:rPr>
        <w:tab/>
      </w:r>
      <w:r w:rsidRPr="00FD5E12">
        <w:rPr>
          <w:rFonts w:ascii="Arial" w:eastAsia="Arial" w:hAnsi="Arial" w:cs="Arial"/>
          <w:sz w:val="22"/>
          <w:szCs w:val="22"/>
        </w:rPr>
        <w:t>Economic Freedom and the Affordable Care Act</w:t>
      </w:r>
    </w:p>
    <w:p w14:paraId="609D4F45" w14:textId="121B645C" w:rsidR="00FD5E12" w:rsidRPr="00FD5E12" w:rsidRDefault="00FD5E12" w:rsidP="00FD5E12">
      <w:pPr>
        <w:spacing w:line="360" w:lineRule="auto"/>
        <w:rPr>
          <w:rFonts w:ascii="Arial" w:eastAsia="Arial" w:hAnsi="Arial" w:cs="Arial"/>
          <w:sz w:val="22"/>
          <w:szCs w:val="22"/>
        </w:rPr>
      </w:pPr>
      <w:r w:rsidRPr="00FD5E12">
        <w:rPr>
          <w:rFonts w:ascii="Arial" w:eastAsia="Arial" w:hAnsi="Arial" w:cs="Arial"/>
          <w:color w:val="000000"/>
          <w:sz w:val="22"/>
          <w:szCs w:val="22"/>
        </w:rPr>
        <w:tab/>
      </w:r>
      <w:r w:rsidRPr="00FD5E12">
        <w:rPr>
          <w:rFonts w:ascii="Arial" w:eastAsia="Arial" w:hAnsi="Arial" w:cs="Arial"/>
          <w:color w:val="000000"/>
          <w:sz w:val="22"/>
          <w:szCs w:val="22"/>
        </w:rPr>
        <w:tab/>
      </w:r>
      <w:proofErr w:type="spellStart"/>
      <w:r w:rsidRPr="00FD5E12">
        <w:rPr>
          <w:rFonts w:ascii="Arial" w:eastAsia="Arial" w:hAnsi="Arial" w:cs="Arial"/>
          <w:sz w:val="22"/>
          <w:szCs w:val="22"/>
        </w:rPr>
        <w:t>Callison</w:t>
      </w:r>
      <w:proofErr w:type="spellEnd"/>
      <w:r w:rsidRPr="00FD5E12">
        <w:rPr>
          <w:rFonts w:ascii="Arial" w:eastAsia="Arial" w:hAnsi="Arial" w:cs="Arial"/>
          <w:sz w:val="22"/>
          <w:szCs w:val="22"/>
        </w:rPr>
        <w:t>, K., &amp; Sicilian, P. (2018). Economic Freedom and the Affordable Care Act. Public Finance Review, 46(2), 301-324. doi:10.1177/1091142116668254</w:t>
      </w:r>
    </w:p>
    <w:p w14:paraId="0DF70387" w14:textId="3FE5EA99" w:rsidR="00FD5E12" w:rsidRPr="00FD5E12" w:rsidRDefault="00FD5E12" w:rsidP="00FD5E12">
      <w:pPr>
        <w:spacing w:line="360" w:lineRule="auto"/>
        <w:rPr>
          <w:rFonts w:ascii="Arial" w:eastAsia="Arial" w:hAnsi="Arial" w:cs="Arial"/>
          <w:sz w:val="22"/>
          <w:szCs w:val="22"/>
        </w:rPr>
      </w:pPr>
      <w:bookmarkStart w:id="1" w:name="_gjdgxs" w:colFirst="0" w:colLast="0"/>
      <w:bookmarkEnd w:id="1"/>
      <w:r w:rsidRPr="00FD5E12">
        <w:rPr>
          <w:rFonts w:ascii="Arial" w:eastAsia="Arial" w:hAnsi="Arial" w:cs="Arial"/>
          <w:color w:val="000000"/>
          <w:sz w:val="22"/>
          <w:szCs w:val="22"/>
        </w:rPr>
        <w:tab/>
      </w:r>
      <w:r w:rsidRPr="00FD5E12">
        <w:rPr>
          <w:rFonts w:ascii="Arial" w:eastAsia="Arial" w:hAnsi="Arial" w:cs="Arial"/>
          <w:color w:val="000000"/>
          <w:sz w:val="22"/>
          <w:szCs w:val="22"/>
        </w:rPr>
        <w:tab/>
      </w:r>
      <w:r w:rsidRPr="00FD5E12">
        <w:rPr>
          <w:rFonts w:ascii="Arial" w:eastAsia="Arial" w:hAnsi="Arial" w:cs="Arial"/>
          <w:sz w:val="22"/>
          <w:szCs w:val="22"/>
        </w:rPr>
        <w:t>This source discusses how originally healthcare was something that was governed by each individual state and many feared if the national government took over it would interfere with their economic freedom. It shows how it actually did just the opposite by the federal government stepping in and introducing the Affordable Care Act. It shows that there was improved labor market autonomy. It shed light on the truth from people who doubted any good would come from this act and believed the ACA would lead to big reductions labor force participation and employment. This article is important because it supports my thesis in that the good that comes from this act heavily outweighs the minute kinks that are still needing to be addressed.</w:t>
      </w:r>
    </w:p>
    <w:p w14:paraId="584F1660" w14:textId="77777777" w:rsidR="00FD5E12" w:rsidRPr="00FD5E12" w:rsidRDefault="00FD5E12" w:rsidP="00FD5E12">
      <w:pPr>
        <w:spacing w:line="360" w:lineRule="auto"/>
        <w:rPr>
          <w:rFonts w:ascii="Arial" w:eastAsia="Arial" w:hAnsi="Arial" w:cs="Arial"/>
          <w:b/>
          <w:sz w:val="22"/>
          <w:szCs w:val="22"/>
        </w:rPr>
      </w:pPr>
      <w:r w:rsidRPr="00FD5E12">
        <w:rPr>
          <w:rFonts w:ascii="Arial" w:eastAsia="Arial" w:hAnsi="Arial" w:cs="Arial"/>
          <w:color w:val="000000"/>
          <w:sz w:val="22"/>
          <w:szCs w:val="22"/>
        </w:rPr>
        <w:tab/>
      </w:r>
      <w:r w:rsidRPr="00FD5E12">
        <w:rPr>
          <w:rFonts w:ascii="Arial" w:eastAsia="Arial" w:hAnsi="Arial" w:cs="Arial"/>
          <w:sz w:val="22"/>
          <w:szCs w:val="22"/>
        </w:rPr>
        <w:t>Policy Diffusion in Polarized Times: The Case of the Affordable Care Act</w:t>
      </w:r>
    </w:p>
    <w:p w14:paraId="6D1A53E3" w14:textId="77777777" w:rsidR="00FD5E12" w:rsidRPr="00FD5E12" w:rsidRDefault="00FD5E12" w:rsidP="00FD5E12">
      <w:pPr>
        <w:spacing w:line="360" w:lineRule="auto"/>
        <w:ind w:firstLine="720"/>
        <w:rPr>
          <w:rFonts w:ascii="Arial" w:eastAsia="Arial" w:hAnsi="Arial" w:cs="Arial"/>
          <w:sz w:val="22"/>
          <w:szCs w:val="22"/>
        </w:rPr>
      </w:pPr>
      <w:r w:rsidRPr="00FD5E12">
        <w:rPr>
          <w:rFonts w:ascii="Arial" w:eastAsia="Arial" w:hAnsi="Arial" w:cs="Arial"/>
          <w:color w:val="000000"/>
          <w:sz w:val="22"/>
          <w:szCs w:val="22"/>
        </w:rPr>
        <w:tab/>
      </w:r>
      <w:proofErr w:type="spellStart"/>
      <w:r w:rsidRPr="00FD5E12">
        <w:rPr>
          <w:rFonts w:ascii="Arial" w:eastAsia="Arial" w:hAnsi="Arial" w:cs="Arial"/>
          <w:color w:val="000000"/>
          <w:sz w:val="22"/>
          <w:szCs w:val="22"/>
        </w:rPr>
        <w:t>Volden</w:t>
      </w:r>
      <w:proofErr w:type="spellEnd"/>
      <w:r w:rsidRPr="00FD5E12">
        <w:rPr>
          <w:rFonts w:ascii="Arial" w:eastAsia="Arial" w:hAnsi="Arial" w:cs="Arial"/>
          <w:color w:val="000000"/>
          <w:sz w:val="22"/>
          <w:szCs w:val="22"/>
        </w:rPr>
        <w:t xml:space="preserve">, C. (2017). Policy Diffusion in Polarized Times: The Case of the Affordable Care Act. Journal </w:t>
      </w:r>
      <w:proofErr w:type="gramStart"/>
      <w:r w:rsidRPr="00FD5E12">
        <w:rPr>
          <w:rFonts w:ascii="Arial" w:eastAsia="Arial" w:hAnsi="Arial" w:cs="Arial"/>
          <w:color w:val="000000"/>
          <w:sz w:val="22"/>
          <w:szCs w:val="22"/>
        </w:rPr>
        <w:t>Of</w:t>
      </w:r>
      <w:proofErr w:type="gramEnd"/>
      <w:r w:rsidRPr="00FD5E12">
        <w:rPr>
          <w:rFonts w:ascii="Arial" w:eastAsia="Arial" w:hAnsi="Arial" w:cs="Arial"/>
          <w:color w:val="000000"/>
          <w:sz w:val="22"/>
          <w:szCs w:val="22"/>
        </w:rPr>
        <w:t xml:space="preserve"> Health Politics, Policy &amp; Law, 42(2), 363-375. doi:10.1215/03616878-3766762</w:t>
      </w:r>
    </w:p>
    <w:p w14:paraId="261124B3" w14:textId="77777777" w:rsidR="00FD5E12" w:rsidRPr="00FD5E12" w:rsidRDefault="00FD5E12" w:rsidP="00FD5E12">
      <w:pPr>
        <w:spacing w:line="360" w:lineRule="auto"/>
        <w:rPr>
          <w:rFonts w:ascii="Arial" w:eastAsia="Arial" w:hAnsi="Arial" w:cs="Arial"/>
          <w:sz w:val="22"/>
          <w:szCs w:val="22"/>
        </w:rPr>
      </w:pPr>
      <w:r w:rsidRPr="00FD5E12">
        <w:rPr>
          <w:rFonts w:ascii="Arial" w:eastAsia="Arial" w:hAnsi="Arial" w:cs="Arial"/>
          <w:color w:val="000000"/>
          <w:sz w:val="22"/>
          <w:szCs w:val="22"/>
        </w:rPr>
        <w:tab/>
      </w:r>
      <w:r w:rsidRPr="00FD5E12">
        <w:rPr>
          <w:rFonts w:ascii="Arial" w:eastAsia="Arial" w:hAnsi="Arial" w:cs="Arial"/>
          <w:color w:val="000000"/>
          <w:sz w:val="22"/>
          <w:szCs w:val="22"/>
        </w:rPr>
        <w:tab/>
      </w:r>
      <w:r w:rsidRPr="00FD5E12">
        <w:rPr>
          <w:rFonts w:ascii="Arial" w:eastAsia="Arial" w:hAnsi="Arial" w:cs="Arial"/>
          <w:sz w:val="22"/>
          <w:szCs w:val="22"/>
        </w:rPr>
        <w:t xml:space="preserve">This source discusses how the current times are polarized which makes for a unique way of policy diffusion on the Affordable Care Act. When the ACA was first enforced it changed the balance of state and national balance. There are strong ideological and partisan divides between the republican and democrat states and even strong policy-making processes within these states. This article is important in showing how the act was a way of making more of a marble cake structure with the states and federal governments </w:t>
      </w:r>
      <w:proofErr w:type="gramStart"/>
      <w:r w:rsidRPr="00FD5E12">
        <w:rPr>
          <w:rFonts w:ascii="Arial" w:eastAsia="Arial" w:hAnsi="Arial" w:cs="Arial"/>
          <w:sz w:val="22"/>
          <w:szCs w:val="22"/>
        </w:rPr>
        <w:t>from  what</w:t>
      </w:r>
      <w:proofErr w:type="gramEnd"/>
      <w:r w:rsidRPr="00FD5E12">
        <w:rPr>
          <w:rFonts w:ascii="Arial" w:eastAsia="Arial" w:hAnsi="Arial" w:cs="Arial"/>
          <w:sz w:val="22"/>
          <w:szCs w:val="22"/>
        </w:rPr>
        <w:t xml:space="preserve"> was much more a layered cake structure with how different the approaches to healthcare was. With this it helps support my thesis in how the act in itself has good outcomes that outweigh the small negatives that still linger within the policy.</w:t>
      </w:r>
    </w:p>
    <w:p w14:paraId="7AB9BCF8" w14:textId="77777777" w:rsidR="00FD5E12" w:rsidRPr="00FD5E12" w:rsidRDefault="00FD5E12" w:rsidP="00FD5E12">
      <w:pPr>
        <w:spacing w:line="360" w:lineRule="auto"/>
        <w:rPr>
          <w:rFonts w:ascii="Arial" w:eastAsia="Arial" w:hAnsi="Arial" w:cs="Arial"/>
          <w:b/>
          <w:sz w:val="22"/>
          <w:szCs w:val="22"/>
        </w:rPr>
      </w:pPr>
      <w:r w:rsidRPr="00FD5E12">
        <w:rPr>
          <w:rFonts w:ascii="Arial" w:eastAsia="Arial" w:hAnsi="Arial" w:cs="Arial"/>
          <w:color w:val="000000"/>
          <w:sz w:val="22"/>
          <w:szCs w:val="22"/>
        </w:rPr>
        <w:lastRenderedPageBreak/>
        <w:tab/>
      </w:r>
      <w:r w:rsidRPr="00FD5E12">
        <w:rPr>
          <w:rFonts w:ascii="Arial" w:eastAsia="Arial" w:hAnsi="Arial" w:cs="Arial"/>
          <w:sz w:val="22"/>
          <w:szCs w:val="22"/>
        </w:rPr>
        <w:t>Local Television News Coverage of the Affordable Care Act: Emphasizing Politics Over Consumer Information</w:t>
      </w:r>
    </w:p>
    <w:p w14:paraId="42935D0C" w14:textId="77777777" w:rsidR="00FD5E12" w:rsidRPr="00FD5E12" w:rsidRDefault="00FD5E12" w:rsidP="00FD5E12">
      <w:pPr>
        <w:spacing w:line="360" w:lineRule="auto"/>
        <w:ind w:left="1440" w:hanging="720"/>
        <w:rPr>
          <w:rFonts w:ascii="Arial" w:eastAsia="Arial" w:hAnsi="Arial" w:cs="Arial"/>
          <w:sz w:val="22"/>
          <w:szCs w:val="22"/>
        </w:rPr>
      </w:pPr>
      <w:proofErr w:type="spellStart"/>
      <w:r w:rsidRPr="00FD5E12">
        <w:rPr>
          <w:rFonts w:ascii="Arial" w:eastAsia="Arial" w:hAnsi="Arial" w:cs="Arial"/>
          <w:sz w:val="22"/>
          <w:szCs w:val="22"/>
        </w:rPr>
        <w:t>Gollust</w:t>
      </w:r>
      <w:proofErr w:type="spellEnd"/>
      <w:r w:rsidRPr="00FD5E12">
        <w:rPr>
          <w:rFonts w:ascii="Arial" w:eastAsia="Arial" w:hAnsi="Arial" w:cs="Arial"/>
          <w:sz w:val="22"/>
          <w:szCs w:val="22"/>
        </w:rPr>
        <w:t xml:space="preserve">, S. E., Baum, L. M., </w:t>
      </w:r>
      <w:proofErr w:type="spellStart"/>
      <w:r w:rsidRPr="00FD5E12">
        <w:rPr>
          <w:rFonts w:ascii="Arial" w:eastAsia="Arial" w:hAnsi="Arial" w:cs="Arial"/>
          <w:sz w:val="22"/>
          <w:szCs w:val="22"/>
        </w:rPr>
        <w:t>Niederdeppe</w:t>
      </w:r>
      <w:proofErr w:type="spellEnd"/>
      <w:r w:rsidRPr="00FD5E12">
        <w:rPr>
          <w:rFonts w:ascii="Arial" w:eastAsia="Arial" w:hAnsi="Arial" w:cs="Arial"/>
          <w:sz w:val="22"/>
          <w:szCs w:val="22"/>
        </w:rPr>
        <w:t xml:space="preserve">, J., Barry, C. L., &amp; Fowler, E. F. (2017). Local Television News Coverage of the Affordable Care Act: Emphasizing Politics Over Consumer Information. American Journal </w:t>
      </w:r>
      <w:proofErr w:type="gramStart"/>
      <w:r w:rsidRPr="00FD5E12">
        <w:rPr>
          <w:rFonts w:ascii="Arial" w:eastAsia="Arial" w:hAnsi="Arial" w:cs="Arial"/>
          <w:sz w:val="22"/>
          <w:szCs w:val="22"/>
        </w:rPr>
        <w:t>Of</w:t>
      </w:r>
      <w:proofErr w:type="gramEnd"/>
      <w:r w:rsidRPr="00FD5E12">
        <w:rPr>
          <w:rFonts w:ascii="Arial" w:eastAsia="Arial" w:hAnsi="Arial" w:cs="Arial"/>
          <w:sz w:val="22"/>
          <w:szCs w:val="22"/>
        </w:rPr>
        <w:t xml:space="preserve"> Public Health, 107(5), 687-693. doi:10.2105/AJPH.2017.303659</w:t>
      </w:r>
    </w:p>
    <w:p w14:paraId="2A655F04" w14:textId="77777777" w:rsidR="00FD5E12" w:rsidRPr="00FD5E12" w:rsidRDefault="00FD5E12" w:rsidP="00FD5E12">
      <w:pPr>
        <w:spacing w:line="360" w:lineRule="auto"/>
        <w:rPr>
          <w:rFonts w:ascii="Arial" w:eastAsia="Arial" w:hAnsi="Arial" w:cs="Arial"/>
          <w:sz w:val="22"/>
          <w:szCs w:val="22"/>
        </w:rPr>
      </w:pPr>
      <w:r w:rsidRPr="00FD5E12">
        <w:rPr>
          <w:rFonts w:ascii="Arial" w:eastAsia="Arial" w:hAnsi="Arial" w:cs="Arial"/>
          <w:color w:val="000000"/>
          <w:sz w:val="22"/>
          <w:szCs w:val="22"/>
        </w:rPr>
        <w:tab/>
      </w:r>
      <w:r w:rsidRPr="00FD5E12">
        <w:rPr>
          <w:rFonts w:ascii="Arial" w:eastAsia="Arial" w:hAnsi="Arial" w:cs="Arial"/>
          <w:color w:val="000000"/>
          <w:sz w:val="22"/>
          <w:szCs w:val="22"/>
        </w:rPr>
        <w:tab/>
        <w:t>This source discusses ACA</w:t>
      </w:r>
      <w:r w:rsidRPr="00FD5E12">
        <w:rPr>
          <w:rFonts w:ascii="Arial" w:eastAsia="Arial" w:hAnsi="Arial" w:cs="Arial"/>
          <w:sz w:val="22"/>
          <w:szCs w:val="22"/>
        </w:rPr>
        <w:t>-</w:t>
      </w:r>
      <w:r w:rsidRPr="00FD5E12">
        <w:rPr>
          <w:rFonts w:ascii="Arial" w:eastAsia="Arial" w:hAnsi="Arial" w:cs="Arial"/>
          <w:color w:val="000000"/>
          <w:sz w:val="22"/>
          <w:szCs w:val="22"/>
        </w:rPr>
        <w:t>related local evening television news stories that aired betwee</w:t>
      </w:r>
      <w:r w:rsidRPr="00FD5E12">
        <w:rPr>
          <w:rFonts w:ascii="Arial" w:eastAsia="Arial" w:hAnsi="Arial" w:cs="Arial"/>
          <w:sz w:val="22"/>
          <w:szCs w:val="22"/>
        </w:rPr>
        <w:t xml:space="preserve">n October 2013 and April 2014 and how they were presented and also interpreted. </w:t>
      </w:r>
      <w:proofErr w:type="gramStart"/>
      <w:r w:rsidRPr="00FD5E12">
        <w:rPr>
          <w:rFonts w:ascii="Arial" w:eastAsia="Arial" w:hAnsi="Arial" w:cs="Arial"/>
          <w:sz w:val="22"/>
          <w:szCs w:val="22"/>
        </w:rPr>
        <w:t>It’s</w:t>
      </w:r>
      <w:proofErr w:type="gramEnd"/>
      <w:r w:rsidRPr="00FD5E12">
        <w:rPr>
          <w:rFonts w:ascii="Arial" w:eastAsia="Arial" w:hAnsi="Arial" w:cs="Arial"/>
          <w:sz w:val="22"/>
          <w:szCs w:val="22"/>
        </w:rPr>
        <w:t xml:space="preserve"> studies found that only half of them focused on the products of the act itself and the other half was focused on the disagreements of the act. These studies were done during the first implementations of the Affordable Care Act and it’s first stages. This source is important to my argument because it shows the unbiased views of the act itself when it first was being implemented. My argument is trying to show how all the good that came from this act outweighs the bugs and small adjustments that are clearly needed for this policy. This source will show the negative impact the media put on a policy that was still just starting out and would obviously need time to work out the kinks. </w:t>
      </w:r>
    </w:p>
    <w:p w14:paraId="0DFAE523" w14:textId="77777777" w:rsidR="00FD5E12" w:rsidRPr="00FD5E12" w:rsidRDefault="00FD5E12" w:rsidP="00FD5E12">
      <w:pPr>
        <w:spacing w:line="360" w:lineRule="auto"/>
        <w:rPr>
          <w:rFonts w:ascii="Arial" w:eastAsia="Arial" w:hAnsi="Arial" w:cs="Arial"/>
          <w:sz w:val="22"/>
          <w:szCs w:val="22"/>
        </w:rPr>
      </w:pPr>
      <w:r w:rsidRPr="00FD5E12">
        <w:rPr>
          <w:rFonts w:ascii="Arial" w:eastAsia="Arial" w:hAnsi="Arial" w:cs="Arial"/>
          <w:color w:val="000000"/>
          <w:sz w:val="22"/>
          <w:szCs w:val="22"/>
        </w:rPr>
        <w:tab/>
      </w:r>
      <w:r w:rsidRPr="00FD5E12">
        <w:rPr>
          <w:rFonts w:ascii="Arial" w:eastAsia="Arial" w:hAnsi="Arial" w:cs="Arial"/>
          <w:sz w:val="22"/>
          <w:szCs w:val="22"/>
        </w:rPr>
        <w:t>Voters and the Affordable Care Act in the 2014 election.</w:t>
      </w:r>
    </w:p>
    <w:p w14:paraId="6D352A88" w14:textId="77777777" w:rsidR="00FD5E12" w:rsidRPr="00FD5E12" w:rsidRDefault="00FD5E12" w:rsidP="00FD5E12">
      <w:pPr>
        <w:spacing w:line="360" w:lineRule="auto"/>
        <w:ind w:left="1440" w:hanging="720"/>
        <w:rPr>
          <w:rFonts w:ascii="Arial" w:eastAsia="Arial" w:hAnsi="Arial" w:cs="Arial"/>
          <w:sz w:val="22"/>
          <w:szCs w:val="22"/>
        </w:rPr>
      </w:pPr>
      <w:r w:rsidRPr="00FD5E12">
        <w:rPr>
          <w:rFonts w:ascii="Arial" w:eastAsia="Arial" w:hAnsi="Arial" w:cs="Arial"/>
          <w:color w:val="000000"/>
          <w:sz w:val="22"/>
          <w:szCs w:val="22"/>
        </w:rPr>
        <w:tab/>
      </w:r>
      <w:proofErr w:type="spellStart"/>
      <w:r w:rsidRPr="00FD5E12">
        <w:rPr>
          <w:rFonts w:ascii="Arial" w:eastAsia="Arial" w:hAnsi="Arial" w:cs="Arial"/>
          <w:color w:val="000000"/>
          <w:sz w:val="22"/>
          <w:szCs w:val="22"/>
        </w:rPr>
        <w:t>Blendon</w:t>
      </w:r>
      <w:proofErr w:type="spellEnd"/>
      <w:r w:rsidRPr="00FD5E12">
        <w:rPr>
          <w:rFonts w:ascii="Arial" w:eastAsia="Arial" w:hAnsi="Arial" w:cs="Arial"/>
          <w:color w:val="000000"/>
          <w:sz w:val="22"/>
          <w:szCs w:val="22"/>
        </w:rPr>
        <w:t xml:space="preserve">, R. J., &amp; Benson, J. M. (2014). Voters and the Affordable Care Act in the 2014 election. The New England Journal </w:t>
      </w:r>
      <w:proofErr w:type="gramStart"/>
      <w:r w:rsidRPr="00FD5E12">
        <w:rPr>
          <w:rFonts w:ascii="Arial" w:eastAsia="Arial" w:hAnsi="Arial" w:cs="Arial"/>
          <w:color w:val="000000"/>
          <w:sz w:val="22"/>
          <w:szCs w:val="22"/>
        </w:rPr>
        <w:t>Of</w:t>
      </w:r>
      <w:proofErr w:type="gramEnd"/>
      <w:r w:rsidRPr="00FD5E12">
        <w:rPr>
          <w:rFonts w:ascii="Arial" w:eastAsia="Arial" w:hAnsi="Arial" w:cs="Arial"/>
          <w:color w:val="000000"/>
          <w:sz w:val="22"/>
          <w:szCs w:val="22"/>
        </w:rPr>
        <w:t xml:space="preserve"> Medicine, 371(20), 1-7.</w:t>
      </w:r>
    </w:p>
    <w:p w14:paraId="2BAD93CD" w14:textId="7265CCDD" w:rsidR="00FD5E12" w:rsidRPr="00FD5E12" w:rsidRDefault="00FD5E12" w:rsidP="00FD5E12">
      <w:pPr>
        <w:spacing w:line="360" w:lineRule="auto"/>
        <w:rPr>
          <w:rFonts w:ascii="Arial" w:eastAsia="Arial" w:hAnsi="Arial" w:cs="Arial"/>
          <w:sz w:val="22"/>
          <w:szCs w:val="22"/>
        </w:rPr>
      </w:pPr>
      <w:r w:rsidRPr="00FD5E12">
        <w:rPr>
          <w:rFonts w:ascii="Arial" w:eastAsia="Arial" w:hAnsi="Arial" w:cs="Arial"/>
          <w:color w:val="000000"/>
          <w:sz w:val="22"/>
          <w:szCs w:val="22"/>
        </w:rPr>
        <w:tab/>
      </w:r>
      <w:r w:rsidRPr="00FD5E12">
        <w:rPr>
          <w:rFonts w:ascii="Arial" w:eastAsia="Arial" w:hAnsi="Arial" w:cs="Arial"/>
          <w:color w:val="000000"/>
          <w:sz w:val="22"/>
          <w:szCs w:val="22"/>
        </w:rPr>
        <w:tab/>
      </w:r>
      <w:r w:rsidRPr="00FD5E12">
        <w:rPr>
          <w:rFonts w:ascii="Arial" w:eastAsia="Arial" w:hAnsi="Arial" w:cs="Arial"/>
          <w:sz w:val="22"/>
          <w:szCs w:val="22"/>
        </w:rPr>
        <w:t xml:space="preserve">This source examines the role the Affordable Care Act took in the 2014 elections and </w:t>
      </w:r>
      <w:proofErr w:type="gramStart"/>
      <w:r w:rsidRPr="00FD5E12">
        <w:rPr>
          <w:rFonts w:ascii="Arial" w:eastAsia="Arial" w:hAnsi="Arial" w:cs="Arial"/>
          <w:sz w:val="22"/>
          <w:szCs w:val="22"/>
        </w:rPr>
        <w:t>it’s</w:t>
      </w:r>
      <w:proofErr w:type="gramEnd"/>
      <w:r w:rsidRPr="00FD5E12">
        <w:rPr>
          <w:rFonts w:ascii="Arial" w:eastAsia="Arial" w:hAnsi="Arial" w:cs="Arial"/>
          <w:sz w:val="22"/>
          <w:szCs w:val="22"/>
        </w:rPr>
        <w:t xml:space="preserve"> potentials outcomes. It has a section that focuses on how congressional candidates affiliated with the act and how that would affect their support from voters. Along with the affiliation it focuses on how the voters wanted congress to handle the act itself. This source is important because it shows how election processes were affected by the act and it supports my thesis in the good that came from the bill by the increased support of the bill over time. After kinks had started to be worked out and actual U.S. citizens were utilizing this new act to their advantages more support was growing.</w:t>
      </w:r>
    </w:p>
    <w:p w14:paraId="3D0BE4A2" w14:textId="77777777" w:rsidR="00FD5E12" w:rsidRDefault="00FD5E12" w:rsidP="00FD5E12">
      <w:pPr>
        <w:rPr>
          <w:rFonts w:ascii="Arial" w:eastAsia="Arial" w:hAnsi="Arial" w:cs="Arial"/>
        </w:rPr>
      </w:pPr>
      <w:r>
        <w:rPr>
          <w:rFonts w:ascii="Arial" w:eastAsia="Arial" w:hAnsi="Arial" w:cs="Arial"/>
        </w:rPr>
        <w:t xml:space="preserve"> </w:t>
      </w:r>
    </w:p>
    <w:p w14:paraId="05398C79" w14:textId="010D84F7" w:rsidR="00027D28" w:rsidRPr="00D9548F" w:rsidRDefault="00027D28" w:rsidP="00FD5E12">
      <w:pPr>
        <w:shd w:val="clear" w:color="auto" w:fill="FFFFFF"/>
        <w:spacing w:line="480" w:lineRule="auto"/>
        <w:jc w:val="center"/>
        <w:textAlignment w:val="baseline"/>
        <w:rPr>
          <w:rFonts w:eastAsia="Times New Roman" w:cs="Times New Roman"/>
          <w:color w:val="000000"/>
          <w:shd w:val="clear" w:color="auto" w:fill="FFFFFF"/>
        </w:rPr>
      </w:pPr>
    </w:p>
    <w:sectPr w:rsidR="00027D28" w:rsidRPr="00D9548F" w:rsidSect="008B0A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81328" w14:textId="77777777" w:rsidR="002536EE" w:rsidRDefault="002536EE" w:rsidP="008B0AB4">
      <w:r>
        <w:separator/>
      </w:r>
    </w:p>
  </w:endnote>
  <w:endnote w:type="continuationSeparator" w:id="0">
    <w:p w14:paraId="4952B068" w14:textId="77777777" w:rsidR="002536EE" w:rsidRDefault="002536EE" w:rsidP="008B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EA4143" w14:textId="77777777" w:rsidR="002536EE" w:rsidRDefault="002536EE" w:rsidP="008B0AB4">
      <w:r>
        <w:separator/>
      </w:r>
    </w:p>
  </w:footnote>
  <w:footnote w:type="continuationSeparator" w:id="0">
    <w:p w14:paraId="30F0CF64" w14:textId="77777777" w:rsidR="002536EE" w:rsidRDefault="002536EE" w:rsidP="008B0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93245" w14:textId="4E324CCF" w:rsidR="00452428" w:rsidRDefault="00452428" w:rsidP="008B0AB4">
    <w:pPr>
      <w:pStyle w:val="Header"/>
      <w:tabs>
        <w:tab w:val="clear" w:pos="8640"/>
        <w:tab w:val="right" w:pos="9360"/>
      </w:tabs>
    </w:pPr>
    <w:r>
      <w:rPr>
        <w:rStyle w:val="PageNumber"/>
      </w:rPr>
      <w:t>PATIENT PROTECTION</w:t>
    </w:r>
    <w:r>
      <w:rPr>
        <w:rStyle w:val="PageNumber"/>
      </w:rPr>
      <w:tab/>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97BF1">
      <w:rPr>
        <w:rStyle w:val="PageNumber"/>
        <w:noProof/>
      </w:rPr>
      <w:t>2</w:t>
    </w:r>
    <w:r>
      <w:rPr>
        <w:rStyle w:val="PageNumber"/>
      </w:rPr>
      <w:fldChar w:fldCharType="end"/>
    </w:r>
  </w:p>
  <w:p w14:paraId="267A6925" w14:textId="77777777" w:rsidR="00452428" w:rsidRDefault="00452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0AC21" w14:textId="54005FB2" w:rsidR="00452428" w:rsidRDefault="00452428" w:rsidP="008B0AB4">
    <w:pPr>
      <w:pStyle w:val="Header"/>
      <w:tabs>
        <w:tab w:val="clear" w:pos="8640"/>
        <w:tab w:val="right" w:pos="9360"/>
      </w:tabs>
    </w:pPr>
    <w:r>
      <w:rPr>
        <w:rStyle w:val="PageNumber"/>
      </w:rPr>
      <w:t>Running head:</w:t>
    </w:r>
    <w:r w:rsidRPr="008B0AB4">
      <w:rPr>
        <w:rStyle w:val="PageNumber"/>
      </w:rPr>
      <w:t xml:space="preserve"> </w:t>
    </w:r>
    <w:r>
      <w:rPr>
        <w:rStyle w:val="PageNumber"/>
      </w:rPr>
      <w:t>PATIENT PROTECTION</w:t>
    </w:r>
    <w:r>
      <w:rPr>
        <w:rStyle w:val="PageNumber"/>
      </w:rPr>
      <w:tab/>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97BF1">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716CA"/>
    <w:multiLevelType w:val="multilevel"/>
    <w:tmpl w:val="04F2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45EAD"/>
    <w:multiLevelType w:val="multilevel"/>
    <w:tmpl w:val="B0F8A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007766"/>
    <w:multiLevelType w:val="multilevel"/>
    <w:tmpl w:val="CB3E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E31864"/>
    <w:multiLevelType w:val="multilevel"/>
    <w:tmpl w:val="C430FB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B4"/>
    <w:rsid w:val="0000622B"/>
    <w:rsid w:val="0001036F"/>
    <w:rsid w:val="000215D3"/>
    <w:rsid w:val="00024FEC"/>
    <w:rsid w:val="00027D28"/>
    <w:rsid w:val="00043760"/>
    <w:rsid w:val="00075427"/>
    <w:rsid w:val="00082D59"/>
    <w:rsid w:val="0008518A"/>
    <w:rsid w:val="000865B7"/>
    <w:rsid w:val="000A23A8"/>
    <w:rsid w:val="000A2458"/>
    <w:rsid w:val="000B39A5"/>
    <w:rsid w:val="000B76B5"/>
    <w:rsid w:val="000C62C3"/>
    <w:rsid w:val="000D1717"/>
    <w:rsid w:val="000F2FBC"/>
    <w:rsid w:val="00100234"/>
    <w:rsid w:val="00107BEC"/>
    <w:rsid w:val="00112A04"/>
    <w:rsid w:val="00175082"/>
    <w:rsid w:val="00183ABD"/>
    <w:rsid w:val="00187F1A"/>
    <w:rsid w:val="001C5EA2"/>
    <w:rsid w:val="001D00E0"/>
    <w:rsid w:val="00220BB0"/>
    <w:rsid w:val="002536EE"/>
    <w:rsid w:val="00287FA1"/>
    <w:rsid w:val="002A7D69"/>
    <w:rsid w:val="002B0766"/>
    <w:rsid w:val="002B0F27"/>
    <w:rsid w:val="002D419A"/>
    <w:rsid w:val="002F0D00"/>
    <w:rsid w:val="00324B9A"/>
    <w:rsid w:val="00334A48"/>
    <w:rsid w:val="00335A51"/>
    <w:rsid w:val="0034672F"/>
    <w:rsid w:val="00352029"/>
    <w:rsid w:val="003627E2"/>
    <w:rsid w:val="003765CF"/>
    <w:rsid w:val="003921DD"/>
    <w:rsid w:val="003D7243"/>
    <w:rsid w:val="0041473E"/>
    <w:rsid w:val="0041631C"/>
    <w:rsid w:val="00417B7F"/>
    <w:rsid w:val="00425572"/>
    <w:rsid w:val="004506A1"/>
    <w:rsid w:val="00452428"/>
    <w:rsid w:val="004679D1"/>
    <w:rsid w:val="004850CC"/>
    <w:rsid w:val="00492750"/>
    <w:rsid w:val="00496B72"/>
    <w:rsid w:val="004B0F7A"/>
    <w:rsid w:val="004D1371"/>
    <w:rsid w:val="004D7C7A"/>
    <w:rsid w:val="004E11E6"/>
    <w:rsid w:val="004E300A"/>
    <w:rsid w:val="004F2B05"/>
    <w:rsid w:val="004F3B37"/>
    <w:rsid w:val="00525091"/>
    <w:rsid w:val="005266A0"/>
    <w:rsid w:val="00527A23"/>
    <w:rsid w:val="00531AD4"/>
    <w:rsid w:val="00580F65"/>
    <w:rsid w:val="0058658F"/>
    <w:rsid w:val="00594B1C"/>
    <w:rsid w:val="00597BF1"/>
    <w:rsid w:val="005C3D2F"/>
    <w:rsid w:val="005D0CC4"/>
    <w:rsid w:val="006358D7"/>
    <w:rsid w:val="006363EA"/>
    <w:rsid w:val="00640FC2"/>
    <w:rsid w:val="00647529"/>
    <w:rsid w:val="0065022B"/>
    <w:rsid w:val="00666605"/>
    <w:rsid w:val="006F6C97"/>
    <w:rsid w:val="00700063"/>
    <w:rsid w:val="00700E35"/>
    <w:rsid w:val="00733264"/>
    <w:rsid w:val="00741482"/>
    <w:rsid w:val="00750A06"/>
    <w:rsid w:val="00750EA8"/>
    <w:rsid w:val="00761C31"/>
    <w:rsid w:val="0078656C"/>
    <w:rsid w:val="007904A4"/>
    <w:rsid w:val="007A6F5B"/>
    <w:rsid w:val="007B2A0A"/>
    <w:rsid w:val="007C70EE"/>
    <w:rsid w:val="007C737F"/>
    <w:rsid w:val="008062BA"/>
    <w:rsid w:val="00830D6F"/>
    <w:rsid w:val="00856C02"/>
    <w:rsid w:val="00870889"/>
    <w:rsid w:val="008A330A"/>
    <w:rsid w:val="008A33F6"/>
    <w:rsid w:val="008B0AB4"/>
    <w:rsid w:val="008B7A79"/>
    <w:rsid w:val="008C1280"/>
    <w:rsid w:val="0091751D"/>
    <w:rsid w:val="0092017F"/>
    <w:rsid w:val="00937957"/>
    <w:rsid w:val="00940FB4"/>
    <w:rsid w:val="009763FE"/>
    <w:rsid w:val="00976BAA"/>
    <w:rsid w:val="00977F7A"/>
    <w:rsid w:val="009815FD"/>
    <w:rsid w:val="009957D0"/>
    <w:rsid w:val="009B2907"/>
    <w:rsid w:val="009B77E0"/>
    <w:rsid w:val="009F074C"/>
    <w:rsid w:val="00A27F25"/>
    <w:rsid w:val="00A3257B"/>
    <w:rsid w:val="00A92190"/>
    <w:rsid w:val="00AA1ACD"/>
    <w:rsid w:val="00AA549D"/>
    <w:rsid w:val="00AB79BA"/>
    <w:rsid w:val="00AF5094"/>
    <w:rsid w:val="00B16A99"/>
    <w:rsid w:val="00B20B56"/>
    <w:rsid w:val="00B21766"/>
    <w:rsid w:val="00B62ECD"/>
    <w:rsid w:val="00B86059"/>
    <w:rsid w:val="00B87DE5"/>
    <w:rsid w:val="00BB60B6"/>
    <w:rsid w:val="00BC2535"/>
    <w:rsid w:val="00C6265D"/>
    <w:rsid w:val="00C71AFE"/>
    <w:rsid w:val="00CA06BC"/>
    <w:rsid w:val="00CC4C45"/>
    <w:rsid w:val="00CD120B"/>
    <w:rsid w:val="00D073EE"/>
    <w:rsid w:val="00D22370"/>
    <w:rsid w:val="00D44855"/>
    <w:rsid w:val="00D50F1D"/>
    <w:rsid w:val="00D827D2"/>
    <w:rsid w:val="00D863C8"/>
    <w:rsid w:val="00D9548F"/>
    <w:rsid w:val="00DA0428"/>
    <w:rsid w:val="00DD0AB8"/>
    <w:rsid w:val="00DD607E"/>
    <w:rsid w:val="00DD75A8"/>
    <w:rsid w:val="00DE34D4"/>
    <w:rsid w:val="00E22374"/>
    <w:rsid w:val="00E27686"/>
    <w:rsid w:val="00E323B4"/>
    <w:rsid w:val="00E52AA0"/>
    <w:rsid w:val="00E74854"/>
    <w:rsid w:val="00EC4086"/>
    <w:rsid w:val="00EF133A"/>
    <w:rsid w:val="00EF1533"/>
    <w:rsid w:val="00EF1A7E"/>
    <w:rsid w:val="00F44B63"/>
    <w:rsid w:val="00F546EF"/>
    <w:rsid w:val="00F65AC0"/>
    <w:rsid w:val="00F87DCD"/>
    <w:rsid w:val="00F96C7C"/>
    <w:rsid w:val="00FA5AE7"/>
    <w:rsid w:val="00FC09EA"/>
    <w:rsid w:val="00FD5E12"/>
    <w:rsid w:val="00FF6989"/>
    <w:rsid w:val="00FF7D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F74928"/>
  <w14:defaultImageDpi w14:val="300"/>
  <w15:docId w15:val="{477F802D-ED0A-8544-BA92-34FE6278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666605"/>
    <w:pPr>
      <w:spacing w:line="480" w:lineRule="auto"/>
      <w:jc w:val="center"/>
      <w:outlineLvl w:val="0"/>
    </w:pPr>
    <w:rPr>
      <w:rFonts w:ascii="Times" w:eastAsia="Times New Roman"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AB4"/>
    <w:pPr>
      <w:tabs>
        <w:tab w:val="center" w:pos="4320"/>
        <w:tab w:val="right" w:pos="8640"/>
      </w:tabs>
    </w:pPr>
  </w:style>
  <w:style w:type="character" w:customStyle="1" w:styleId="HeaderChar">
    <w:name w:val="Header Char"/>
    <w:basedOn w:val="DefaultParagraphFont"/>
    <w:link w:val="Header"/>
    <w:uiPriority w:val="99"/>
    <w:rsid w:val="008B0AB4"/>
  </w:style>
  <w:style w:type="paragraph" w:styleId="Footer">
    <w:name w:val="footer"/>
    <w:basedOn w:val="Normal"/>
    <w:link w:val="FooterChar"/>
    <w:uiPriority w:val="99"/>
    <w:unhideWhenUsed/>
    <w:rsid w:val="008B0AB4"/>
    <w:pPr>
      <w:tabs>
        <w:tab w:val="center" w:pos="4320"/>
        <w:tab w:val="right" w:pos="8640"/>
      </w:tabs>
    </w:pPr>
  </w:style>
  <w:style w:type="character" w:customStyle="1" w:styleId="FooterChar">
    <w:name w:val="Footer Char"/>
    <w:basedOn w:val="DefaultParagraphFont"/>
    <w:link w:val="Footer"/>
    <w:uiPriority w:val="99"/>
    <w:rsid w:val="008B0AB4"/>
  </w:style>
  <w:style w:type="character" w:styleId="PageNumber">
    <w:name w:val="page number"/>
    <w:basedOn w:val="DefaultParagraphFont"/>
    <w:uiPriority w:val="99"/>
    <w:semiHidden/>
    <w:unhideWhenUsed/>
    <w:rsid w:val="008B0AB4"/>
  </w:style>
  <w:style w:type="character" w:styleId="Hyperlink">
    <w:name w:val="Hyperlink"/>
    <w:basedOn w:val="DefaultParagraphFont"/>
    <w:uiPriority w:val="99"/>
    <w:unhideWhenUsed/>
    <w:rsid w:val="007A6F5B"/>
    <w:rPr>
      <w:color w:val="0000FF" w:themeColor="hyperlink"/>
      <w:u w:val="single"/>
    </w:rPr>
  </w:style>
  <w:style w:type="character" w:styleId="Strong">
    <w:name w:val="Strong"/>
    <w:basedOn w:val="DefaultParagraphFont"/>
    <w:uiPriority w:val="22"/>
    <w:qFormat/>
    <w:rsid w:val="00EF133A"/>
    <w:rPr>
      <w:b/>
      <w:bCs/>
    </w:rPr>
  </w:style>
  <w:style w:type="character" w:customStyle="1" w:styleId="apple-converted-space">
    <w:name w:val="apple-converted-space"/>
    <w:basedOn w:val="DefaultParagraphFont"/>
    <w:rsid w:val="00EF133A"/>
  </w:style>
  <w:style w:type="character" w:customStyle="1" w:styleId="cit-auth">
    <w:name w:val="cit-auth"/>
    <w:basedOn w:val="DefaultParagraphFont"/>
    <w:rsid w:val="00175082"/>
  </w:style>
  <w:style w:type="character" w:customStyle="1" w:styleId="site-title">
    <w:name w:val="site-title"/>
    <w:basedOn w:val="DefaultParagraphFont"/>
    <w:rsid w:val="00175082"/>
  </w:style>
  <w:style w:type="character" w:customStyle="1" w:styleId="cit-sep">
    <w:name w:val="cit-sep"/>
    <w:basedOn w:val="DefaultParagraphFont"/>
    <w:rsid w:val="00175082"/>
  </w:style>
  <w:style w:type="character" w:customStyle="1" w:styleId="cit-print-date">
    <w:name w:val="cit-print-date"/>
    <w:basedOn w:val="DefaultParagraphFont"/>
    <w:rsid w:val="00175082"/>
  </w:style>
  <w:style w:type="character" w:customStyle="1" w:styleId="cit-vol">
    <w:name w:val="cit-vol"/>
    <w:basedOn w:val="DefaultParagraphFont"/>
    <w:rsid w:val="00175082"/>
  </w:style>
  <w:style w:type="character" w:customStyle="1" w:styleId="cit-issue">
    <w:name w:val="cit-issue"/>
    <w:basedOn w:val="DefaultParagraphFont"/>
    <w:rsid w:val="00175082"/>
  </w:style>
  <w:style w:type="character" w:customStyle="1" w:styleId="cit-first-page">
    <w:name w:val="cit-first-page"/>
    <w:basedOn w:val="DefaultParagraphFont"/>
    <w:rsid w:val="00175082"/>
  </w:style>
  <w:style w:type="character" w:customStyle="1" w:styleId="cit-last-page">
    <w:name w:val="cit-last-page"/>
    <w:basedOn w:val="DefaultParagraphFont"/>
    <w:rsid w:val="00175082"/>
  </w:style>
  <w:style w:type="character" w:customStyle="1" w:styleId="cit-ahead-of-print-date">
    <w:name w:val="cit-ahead-of-print-date"/>
    <w:basedOn w:val="DefaultParagraphFont"/>
    <w:rsid w:val="000D1717"/>
  </w:style>
  <w:style w:type="character" w:customStyle="1" w:styleId="Heading1Char">
    <w:name w:val="Heading 1 Char"/>
    <w:basedOn w:val="DefaultParagraphFont"/>
    <w:link w:val="Heading1"/>
    <w:rsid w:val="00666605"/>
    <w:rPr>
      <w:rFonts w:ascii="Times" w:eastAsia="Times New Roman" w:hAnsi="Times" w:cs="Times New Roman"/>
      <w:szCs w:val="20"/>
    </w:rPr>
  </w:style>
  <w:style w:type="paragraph" w:styleId="BodyText">
    <w:name w:val="Body Text"/>
    <w:basedOn w:val="Normal"/>
    <w:link w:val="BodyTextChar"/>
    <w:rsid w:val="00666605"/>
    <w:pPr>
      <w:spacing w:line="480" w:lineRule="auto"/>
      <w:ind w:firstLine="540"/>
    </w:pPr>
    <w:rPr>
      <w:rFonts w:ascii="Times" w:eastAsia="Times New Roman" w:hAnsi="Times" w:cs="Times New Roman"/>
      <w:szCs w:val="20"/>
    </w:rPr>
  </w:style>
  <w:style w:type="character" w:customStyle="1" w:styleId="BodyTextChar">
    <w:name w:val="Body Text Char"/>
    <w:basedOn w:val="DefaultParagraphFont"/>
    <w:link w:val="BodyText"/>
    <w:rsid w:val="00666605"/>
    <w:rPr>
      <w:rFonts w:ascii="Times" w:eastAsia="Times New Roman" w:hAnsi="Times" w:cs="Times New Roman"/>
      <w:szCs w:val="20"/>
    </w:rPr>
  </w:style>
  <w:style w:type="character" w:customStyle="1" w:styleId="text1">
    <w:name w:val="text1"/>
    <w:rsid w:val="00666605"/>
  </w:style>
  <w:style w:type="character" w:styleId="FollowedHyperlink">
    <w:name w:val="FollowedHyperlink"/>
    <w:basedOn w:val="DefaultParagraphFont"/>
    <w:uiPriority w:val="99"/>
    <w:semiHidden/>
    <w:unhideWhenUsed/>
    <w:rsid w:val="00B860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7880">
      <w:bodyDiv w:val="1"/>
      <w:marLeft w:val="0"/>
      <w:marRight w:val="0"/>
      <w:marTop w:val="0"/>
      <w:marBottom w:val="0"/>
      <w:divBdr>
        <w:top w:val="none" w:sz="0" w:space="0" w:color="auto"/>
        <w:left w:val="none" w:sz="0" w:space="0" w:color="auto"/>
        <w:bottom w:val="none" w:sz="0" w:space="0" w:color="auto"/>
        <w:right w:val="none" w:sz="0" w:space="0" w:color="auto"/>
      </w:divBdr>
    </w:div>
    <w:div w:id="142240364">
      <w:bodyDiv w:val="1"/>
      <w:marLeft w:val="0"/>
      <w:marRight w:val="0"/>
      <w:marTop w:val="0"/>
      <w:marBottom w:val="0"/>
      <w:divBdr>
        <w:top w:val="none" w:sz="0" w:space="0" w:color="auto"/>
        <w:left w:val="none" w:sz="0" w:space="0" w:color="auto"/>
        <w:bottom w:val="none" w:sz="0" w:space="0" w:color="auto"/>
        <w:right w:val="none" w:sz="0" w:space="0" w:color="auto"/>
      </w:divBdr>
    </w:div>
    <w:div w:id="289553836">
      <w:bodyDiv w:val="1"/>
      <w:marLeft w:val="0"/>
      <w:marRight w:val="0"/>
      <w:marTop w:val="0"/>
      <w:marBottom w:val="0"/>
      <w:divBdr>
        <w:top w:val="none" w:sz="0" w:space="0" w:color="auto"/>
        <w:left w:val="none" w:sz="0" w:space="0" w:color="auto"/>
        <w:bottom w:val="none" w:sz="0" w:space="0" w:color="auto"/>
        <w:right w:val="none" w:sz="0" w:space="0" w:color="auto"/>
      </w:divBdr>
    </w:div>
    <w:div w:id="397632693">
      <w:bodyDiv w:val="1"/>
      <w:marLeft w:val="0"/>
      <w:marRight w:val="0"/>
      <w:marTop w:val="0"/>
      <w:marBottom w:val="0"/>
      <w:divBdr>
        <w:top w:val="none" w:sz="0" w:space="0" w:color="auto"/>
        <w:left w:val="none" w:sz="0" w:space="0" w:color="auto"/>
        <w:bottom w:val="none" w:sz="0" w:space="0" w:color="auto"/>
        <w:right w:val="none" w:sz="0" w:space="0" w:color="auto"/>
      </w:divBdr>
    </w:div>
    <w:div w:id="494107611">
      <w:bodyDiv w:val="1"/>
      <w:marLeft w:val="0"/>
      <w:marRight w:val="0"/>
      <w:marTop w:val="0"/>
      <w:marBottom w:val="0"/>
      <w:divBdr>
        <w:top w:val="none" w:sz="0" w:space="0" w:color="auto"/>
        <w:left w:val="none" w:sz="0" w:space="0" w:color="auto"/>
        <w:bottom w:val="none" w:sz="0" w:space="0" w:color="auto"/>
        <w:right w:val="none" w:sz="0" w:space="0" w:color="auto"/>
      </w:divBdr>
    </w:div>
    <w:div w:id="662667192">
      <w:bodyDiv w:val="1"/>
      <w:marLeft w:val="0"/>
      <w:marRight w:val="0"/>
      <w:marTop w:val="0"/>
      <w:marBottom w:val="0"/>
      <w:divBdr>
        <w:top w:val="none" w:sz="0" w:space="0" w:color="auto"/>
        <w:left w:val="none" w:sz="0" w:space="0" w:color="auto"/>
        <w:bottom w:val="none" w:sz="0" w:space="0" w:color="auto"/>
        <w:right w:val="none" w:sz="0" w:space="0" w:color="auto"/>
      </w:divBdr>
    </w:div>
    <w:div w:id="883251192">
      <w:bodyDiv w:val="1"/>
      <w:marLeft w:val="0"/>
      <w:marRight w:val="0"/>
      <w:marTop w:val="0"/>
      <w:marBottom w:val="0"/>
      <w:divBdr>
        <w:top w:val="none" w:sz="0" w:space="0" w:color="auto"/>
        <w:left w:val="none" w:sz="0" w:space="0" w:color="auto"/>
        <w:bottom w:val="none" w:sz="0" w:space="0" w:color="auto"/>
        <w:right w:val="none" w:sz="0" w:space="0" w:color="auto"/>
      </w:divBdr>
    </w:div>
    <w:div w:id="956302467">
      <w:bodyDiv w:val="1"/>
      <w:marLeft w:val="0"/>
      <w:marRight w:val="0"/>
      <w:marTop w:val="0"/>
      <w:marBottom w:val="0"/>
      <w:divBdr>
        <w:top w:val="none" w:sz="0" w:space="0" w:color="auto"/>
        <w:left w:val="none" w:sz="0" w:space="0" w:color="auto"/>
        <w:bottom w:val="none" w:sz="0" w:space="0" w:color="auto"/>
        <w:right w:val="none" w:sz="0" w:space="0" w:color="auto"/>
      </w:divBdr>
    </w:div>
    <w:div w:id="980305870">
      <w:bodyDiv w:val="1"/>
      <w:marLeft w:val="0"/>
      <w:marRight w:val="0"/>
      <w:marTop w:val="0"/>
      <w:marBottom w:val="0"/>
      <w:divBdr>
        <w:top w:val="none" w:sz="0" w:space="0" w:color="auto"/>
        <w:left w:val="none" w:sz="0" w:space="0" w:color="auto"/>
        <w:bottom w:val="none" w:sz="0" w:space="0" w:color="auto"/>
        <w:right w:val="none" w:sz="0" w:space="0" w:color="auto"/>
      </w:divBdr>
    </w:div>
    <w:div w:id="1005085946">
      <w:bodyDiv w:val="1"/>
      <w:marLeft w:val="0"/>
      <w:marRight w:val="0"/>
      <w:marTop w:val="0"/>
      <w:marBottom w:val="0"/>
      <w:divBdr>
        <w:top w:val="none" w:sz="0" w:space="0" w:color="auto"/>
        <w:left w:val="none" w:sz="0" w:space="0" w:color="auto"/>
        <w:bottom w:val="none" w:sz="0" w:space="0" w:color="auto"/>
        <w:right w:val="none" w:sz="0" w:space="0" w:color="auto"/>
      </w:divBdr>
    </w:div>
    <w:div w:id="1138763291">
      <w:bodyDiv w:val="1"/>
      <w:marLeft w:val="0"/>
      <w:marRight w:val="0"/>
      <w:marTop w:val="0"/>
      <w:marBottom w:val="0"/>
      <w:divBdr>
        <w:top w:val="none" w:sz="0" w:space="0" w:color="auto"/>
        <w:left w:val="none" w:sz="0" w:space="0" w:color="auto"/>
        <w:bottom w:val="none" w:sz="0" w:space="0" w:color="auto"/>
        <w:right w:val="none" w:sz="0" w:space="0" w:color="auto"/>
      </w:divBdr>
    </w:div>
    <w:div w:id="1167743805">
      <w:bodyDiv w:val="1"/>
      <w:marLeft w:val="0"/>
      <w:marRight w:val="0"/>
      <w:marTop w:val="0"/>
      <w:marBottom w:val="0"/>
      <w:divBdr>
        <w:top w:val="none" w:sz="0" w:space="0" w:color="auto"/>
        <w:left w:val="none" w:sz="0" w:space="0" w:color="auto"/>
        <w:bottom w:val="none" w:sz="0" w:space="0" w:color="auto"/>
        <w:right w:val="none" w:sz="0" w:space="0" w:color="auto"/>
      </w:divBdr>
    </w:div>
    <w:div w:id="1245257549">
      <w:bodyDiv w:val="1"/>
      <w:marLeft w:val="0"/>
      <w:marRight w:val="0"/>
      <w:marTop w:val="0"/>
      <w:marBottom w:val="0"/>
      <w:divBdr>
        <w:top w:val="none" w:sz="0" w:space="0" w:color="auto"/>
        <w:left w:val="none" w:sz="0" w:space="0" w:color="auto"/>
        <w:bottom w:val="none" w:sz="0" w:space="0" w:color="auto"/>
        <w:right w:val="none" w:sz="0" w:space="0" w:color="auto"/>
      </w:divBdr>
    </w:div>
    <w:div w:id="1278558755">
      <w:bodyDiv w:val="1"/>
      <w:marLeft w:val="0"/>
      <w:marRight w:val="0"/>
      <w:marTop w:val="0"/>
      <w:marBottom w:val="0"/>
      <w:divBdr>
        <w:top w:val="none" w:sz="0" w:space="0" w:color="auto"/>
        <w:left w:val="none" w:sz="0" w:space="0" w:color="auto"/>
        <w:bottom w:val="none" w:sz="0" w:space="0" w:color="auto"/>
        <w:right w:val="none" w:sz="0" w:space="0" w:color="auto"/>
      </w:divBdr>
    </w:div>
    <w:div w:id="1339890920">
      <w:bodyDiv w:val="1"/>
      <w:marLeft w:val="0"/>
      <w:marRight w:val="0"/>
      <w:marTop w:val="0"/>
      <w:marBottom w:val="0"/>
      <w:divBdr>
        <w:top w:val="none" w:sz="0" w:space="0" w:color="auto"/>
        <w:left w:val="none" w:sz="0" w:space="0" w:color="auto"/>
        <w:bottom w:val="none" w:sz="0" w:space="0" w:color="auto"/>
        <w:right w:val="none" w:sz="0" w:space="0" w:color="auto"/>
      </w:divBdr>
    </w:div>
    <w:div w:id="1470973140">
      <w:bodyDiv w:val="1"/>
      <w:marLeft w:val="0"/>
      <w:marRight w:val="0"/>
      <w:marTop w:val="0"/>
      <w:marBottom w:val="0"/>
      <w:divBdr>
        <w:top w:val="none" w:sz="0" w:space="0" w:color="auto"/>
        <w:left w:val="none" w:sz="0" w:space="0" w:color="auto"/>
        <w:bottom w:val="none" w:sz="0" w:space="0" w:color="auto"/>
        <w:right w:val="none" w:sz="0" w:space="0" w:color="auto"/>
      </w:divBdr>
    </w:div>
    <w:div w:id="1477646959">
      <w:bodyDiv w:val="1"/>
      <w:marLeft w:val="0"/>
      <w:marRight w:val="0"/>
      <w:marTop w:val="0"/>
      <w:marBottom w:val="0"/>
      <w:divBdr>
        <w:top w:val="none" w:sz="0" w:space="0" w:color="auto"/>
        <w:left w:val="none" w:sz="0" w:space="0" w:color="auto"/>
        <w:bottom w:val="none" w:sz="0" w:space="0" w:color="auto"/>
        <w:right w:val="none" w:sz="0" w:space="0" w:color="auto"/>
      </w:divBdr>
    </w:div>
    <w:div w:id="1610166446">
      <w:bodyDiv w:val="1"/>
      <w:marLeft w:val="0"/>
      <w:marRight w:val="0"/>
      <w:marTop w:val="0"/>
      <w:marBottom w:val="0"/>
      <w:divBdr>
        <w:top w:val="none" w:sz="0" w:space="0" w:color="auto"/>
        <w:left w:val="none" w:sz="0" w:space="0" w:color="auto"/>
        <w:bottom w:val="none" w:sz="0" w:space="0" w:color="auto"/>
        <w:right w:val="none" w:sz="0" w:space="0" w:color="auto"/>
      </w:divBdr>
    </w:div>
    <w:div w:id="1678725117">
      <w:bodyDiv w:val="1"/>
      <w:marLeft w:val="0"/>
      <w:marRight w:val="0"/>
      <w:marTop w:val="0"/>
      <w:marBottom w:val="0"/>
      <w:divBdr>
        <w:top w:val="none" w:sz="0" w:space="0" w:color="auto"/>
        <w:left w:val="none" w:sz="0" w:space="0" w:color="auto"/>
        <w:bottom w:val="none" w:sz="0" w:space="0" w:color="auto"/>
        <w:right w:val="none" w:sz="0" w:space="0" w:color="auto"/>
      </w:divBdr>
    </w:div>
    <w:div w:id="19512318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762</Words>
  <Characters>4349</Characters>
  <Application>Microsoft Office Word</Application>
  <DocSecurity>0</DocSecurity>
  <Lines>36</Lines>
  <Paragraphs>10</Paragraphs>
  <ScaleCrop>false</ScaleCrop>
  <Company>Athletes Nutri</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Sylverne</dc:creator>
  <cp:keywords/>
  <dc:description/>
  <cp:lastModifiedBy>esther nuhu</cp:lastModifiedBy>
  <cp:revision>3</cp:revision>
  <dcterms:created xsi:type="dcterms:W3CDTF">2019-11-26T05:04:00Z</dcterms:created>
  <dcterms:modified xsi:type="dcterms:W3CDTF">2019-12-07T13:49:00Z</dcterms:modified>
</cp:coreProperties>
</file>